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D5" w:rsidRPr="00B252D5" w:rsidRDefault="00B252D5" w:rsidP="00B252D5">
      <w:pPr>
        <w:shd w:val="clear" w:color="auto" w:fill="FFFFFF"/>
        <w:jc w:val="center"/>
        <w:rPr>
          <w:rFonts w:ascii="Arial" w:hAnsi="Arial" w:cs="Arial"/>
          <w:color w:val="616161"/>
        </w:rPr>
      </w:pPr>
      <w:r w:rsidRPr="00B252D5">
        <w:rPr>
          <w:rFonts w:ascii="Arial" w:hAnsi="Arial" w:cs="Arial"/>
          <w:b/>
          <w:bCs/>
          <w:color w:val="616161"/>
          <w:bdr w:val="none" w:sz="0" w:space="0" w:color="auto" w:frame="1"/>
        </w:rPr>
        <w:t>ПРОЕКТНАЯ ДЕКЛАРАЦИЯ № 3</w:t>
      </w:r>
    </w:p>
    <w:p w:rsidR="00B252D5" w:rsidRPr="00B252D5" w:rsidRDefault="00B252D5" w:rsidP="00B252D5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252D5">
        <w:rPr>
          <w:rFonts w:ascii="Arial" w:hAnsi="Arial" w:cs="Arial"/>
          <w:color w:val="616161"/>
        </w:rPr>
        <w:t> </w:t>
      </w:r>
    </w:p>
    <w:p w:rsidR="00B252D5" w:rsidRPr="00B252D5" w:rsidRDefault="00B252D5" w:rsidP="00B252D5">
      <w:pPr>
        <w:shd w:val="clear" w:color="auto" w:fill="FFFFFF"/>
        <w:jc w:val="center"/>
        <w:rPr>
          <w:rFonts w:ascii="Arial" w:hAnsi="Arial" w:cs="Arial"/>
          <w:color w:val="616161"/>
        </w:rPr>
      </w:pPr>
      <w:r w:rsidRPr="00B252D5">
        <w:rPr>
          <w:rFonts w:ascii="Arial" w:hAnsi="Arial" w:cs="Arial"/>
          <w:b/>
          <w:bCs/>
          <w:color w:val="616161"/>
          <w:bdr w:val="none" w:sz="0" w:space="0" w:color="auto" w:frame="1"/>
        </w:rPr>
        <w:t>на строительство корпуса №3 микрорайона «Олимпийский»</w:t>
      </w:r>
    </w:p>
    <w:p w:rsidR="00B252D5" w:rsidRPr="00B252D5" w:rsidRDefault="00B252D5" w:rsidP="00B252D5">
      <w:pPr>
        <w:shd w:val="clear" w:color="auto" w:fill="FFFFFF"/>
        <w:jc w:val="center"/>
        <w:rPr>
          <w:rFonts w:ascii="Arial" w:hAnsi="Arial" w:cs="Arial"/>
          <w:color w:val="616161"/>
        </w:rPr>
      </w:pPr>
      <w:r w:rsidRPr="00B252D5">
        <w:rPr>
          <w:rFonts w:ascii="Arial" w:hAnsi="Arial" w:cs="Arial"/>
          <w:b/>
          <w:bCs/>
          <w:color w:val="616161"/>
          <w:bdr w:val="none" w:sz="0" w:space="0" w:color="auto" w:frame="1"/>
        </w:rPr>
        <w:t>в г. Чехове Московской области, ул. Весенняя</w:t>
      </w:r>
    </w:p>
    <w:p w:rsidR="00B252D5" w:rsidRPr="00B252D5" w:rsidRDefault="00B252D5" w:rsidP="00B252D5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252D5">
        <w:rPr>
          <w:rFonts w:ascii="Arial" w:hAnsi="Arial" w:cs="Arial"/>
          <w:color w:val="61616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"/>
        <w:gridCol w:w="3841"/>
        <w:gridCol w:w="4823"/>
      </w:tblGrid>
      <w:tr w:rsidR="00B252D5" w:rsidRPr="00B252D5" w:rsidTr="00B252D5">
        <w:trPr>
          <w:tblCellSpacing w:w="0" w:type="dxa"/>
        </w:trPr>
        <w:tc>
          <w:tcPr>
            <w:tcW w:w="1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numPr>
                <w:ilvl w:val="0"/>
                <w:numId w:val="1"/>
              </w:numPr>
              <w:ind w:left="0"/>
              <w:jc w:val="center"/>
              <w:rPr>
                <w:rFonts w:ascii="Arial" w:eastAsia="Times New Roman" w:hAnsi="Arial" w:cs="Arial"/>
                <w:color w:val="616161"/>
              </w:rPr>
            </w:pPr>
            <w:r w:rsidRPr="00B252D5">
              <w:rPr>
                <w:rFonts w:ascii="Arial" w:eastAsia="Times New Roman" w:hAnsi="Arial" w:cs="Arial"/>
                <w:b/>
                <w:bCs/>
                <w:color w:val="616161"/>
                <w:bdr w:val="none" w:sz="0" w:space="0" w:color="auto" w:frame="1"/>
              </w:rPr>
              <w:t>Информация о застройщике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Наименование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Общество с ограниченной ответственностью «Ванаг»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Фирменное наименование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Общество с ограниченной ответственностью «Ванаг»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Место регистрации,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117209 г. Москва, Севастопольский пр-т, д.28, корп.8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Фактическое местонахождение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117209 г. Москва, Севастопольский пр-т, д.28, корп.8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Режим работы застройщика, контактная информация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С 9-00 до 18-00 ежедневно кроме субботы и воскресенья, тел. (499) 789-28-45, (499) 789-21-09, e-mail: vanag@bk.ru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государственной регистрации застройщика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ООО «ВАНАГ» зарегистрировано 25.11.02г. Инспекция Министерства РФ по налогам и сборам №27 по ЮЗАО города Москвы. ОГРН 10277270114600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об учредителях (акционерах) застройщика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Англичанинова Ольга Валерьевна (50% уставного капитала)</w:t>
            </w:r>
          </w:p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Англичанинова Наталья Валерьевна (50% уставного капитала)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I очередь мкр. «Олимпийский» (корп. №1,2), инженерные коммуникации и сооружения на них. Срок ввода – март 2011 г.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lastRenderedPageBreak/>
              <w:t>1.8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видах лицензируемой деятельности, номер лицензии, срок ее действия. Сведения об органе, выдавшем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Не лицензируется.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величине собственных денежных средств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49 693,00 тыс. руб.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финансовом результате текущего года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Получена прибыль в размере 9 829,00 тыс. руб.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174 981,00 тыс. руб.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размере кредиторской задолженности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61 065,00 тыс. руб.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1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616161"/>
              </w:rPr>
            </w:pPr>
            <w:r w:rsidRPr="00B252D5">
              <w:rPr>
                <w:rFonts w:ascii="Arial" w:eastAsia="Times New Roman" w:hAnsi="Arial" w:cs="Arial"/>
                <w:b/>
                <w:bCs/>
                <w:color w:val="616161"/>
                <w:bdr w:val="none" w:sz="0" w:space="0" w:color="auto" w:frame="1"/>
              </w:rPr>
              <w:t>2.      Информация о проекте строительства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Цель проекта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Строительство II очереди многоэтажной жилой застройки микрорайона «Олимпийский» в г. Чехове МО, корпус №3, 3 секц., 19 эт., 216 кв.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об этапах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Строительство осуществляется в три этапа:</w:t>
            </w:r>
          </w:p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1.«Подготовка территории; 2. Строительство корпусов №3, инженерных коммуникаций с сооружениями; 3. Благоустройство и озеленение территории, наружное освещение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lastRenderedPageBreak/>
              <w:t>2.3.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сроках реализации проекта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Начало: январь 2012 г. Окончание: июнь 2013 г.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Положительное заключение ГАУ МО «Мособлгосэкспертиза» от 17.06.2011 г. №50-1-4-0680-11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разрешении на строительство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Разрешение на строительство корп. №3 RU 50509000-026 от 22.07.2011 г.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правах застройщика на земельный участок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Договор аренды земельного участка от 06.06.2012г. №1960, площадью 28 109,00 кв. м. Кадастровый номер 50:31:0000000:1257. Срок аренды – 3 (три) года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Земельные участки относятся к муниципальной собственности Чеховского муниципального района Московской области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Участок граничит:</w:t>
            </w:r>
          </w:p>
          <w:p w:rsidR="00B252D5" w:rsidRPr="00B252D5" w:rsidRDefault="00B252D5" w:rsidP="00B252D5">
            <w:pPr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севера</w:t>
            </w:r>
            <w:r w:rsidRPr="00B252D5">
              <w:rPr>
                <w:rFonts w:ascii="Arial" w:hAnsi="Arial" w:cs="Arial"/>
                <w:color w:val="616161"/>
              </w:rPr>
              <w:t> – санитарный разрыв от железной дороги местного значения на Венюково; </w:t>
            </w:r>
            <w:r w:rsidRPr="00B252D5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запада</w:t>
            </w:r>
            <w:r w:rsidRPr="00B252D5">
              <w:rPr>
                <w:rFonts w:ascii="Arial" w:hAnsi="Arial" w:cs="Arial"/>
                <w:color w:val="616161"/>
              </w:rPr>
              <w:t> – территория первой очереди мкр. «Олимпийский» (корп. №1,2); </w:t>
            </w:r>
            <w:r w:rsidRPr="00B252D5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востока</w:t>
            </w:r>
            <w:r w:rsidRPr="00B252D5">
              <w:rPr>
                <w:rFonts w:ascii="Arial" w:hAnsi="Arial" w:cs="Arial"/>
                <w:color w:val="616161"/>
              </w:rPr>
              <w:t> – территория ветхой малоэтажной жилой застройки, подлежащей сносу; </w:t>
            </w:r>
            <w:r w:rsidRPr="00B252D5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юга</w:t>
            </w:r>
            <w:r w:rsidRPr="00B252D5">
              <w:rPr>
                <w:rFonts w:ascii="Arial" w:hAnsi="Arial" w:cs="Arial"/>
                <w:color w:val="616161"/>
              </w:rPr>
              <w:t> – территория ГСК «Заря», далее территория СК «Олимпийский»;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Площадь земельного участка, предназначенного для строительства по землеотводу – 1 170,00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об элементах благоустройства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Благоустройством территории в дворовом пространстве, общем для двух корпусов, предусматривается устройство площадок: для игр детей (264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), для отдыха взрослых (120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), хозяйственной (51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), спортивной (375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). Площадь озеленения 3014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, площадь тротуаров 900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, площадь отмостки 125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 xml:space="preserve">. Вдоль внутриквартальных проездов размещены открытые стоянки автомобилей общей </w:t>
            </w:r>
            <w:r w:rsidRPr="00B252D5">
              <w:rPr>
                <w:rFonts w:ascii="Arial" w:hAnsi="Arial" w:cs="Arial"/>
                <w:color w:val="616161"/>
              </w:rPr>
              <w:lastRenderedPageBreak/>
              <w:t>вместимостью 80м/мест. Покрытые внутриквартальных дорог – асфальтобетон, пешеходные дорожки и тротуары – тротуарная плитка. Озеленение – газоны, посадка деревьев.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lastRenderedPageBreak/>
              <w:t>2.11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месторасположении строящегося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Участок расположен в северо-восточной части города Чехова за территорией СК «Олимпийский» (ул. Полиграфистов) вдоль железной дороги местного значения на Венюково по улице Весенняя (нечетная сторона).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Описание строящегося многоквартирного жилого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Корпус №3 – трехсекционный, панельный, серия 111М, 19 этажный, 216 квартир.Фундамент – монолитная ж/бетонная плита.Наружные стены – 3-х слойные ж/бетонные панели.Внутренние стены – ж/бетонные панели.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количестве, входящих в состав строящегося многоквартирного жилого дома или иного объекта недвижимости самостоятельных частей (квартир в многоэтажном жилом доме, гаражей или иных объектов недвижимости) передаваемых участникам долевого строительства застройщиком после получения разрешения на ввод в эксплуатацию многоквартирного жилого дома или иного объекта недвижимости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Жилые помещения:</w:t>
            </w:r>
          </w:p>
          <w:p w:rsidR="00B252D5" w:rsidRPr="00B252D5" w:rsidRDefault="00B252D5" w:rsidP="00B252D5">
            <w:pPr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Количество квартир – 216, в том числе однокомнатных – 90, двухкомнатных – 108, трехкомнатных – 18. Общая площадь корпуса №3 – 12 249,26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. Общая площадь квартир – 11 748,69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., то же, нежилых помещений на 1 этаже – 500,57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Однокомнатные квартиры – от 45,01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 до 45,5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, Двухкомнатные квартиры – от 57,15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 до 61,65м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, Трехкомнатные квартиры – от 73,5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до 74,49 м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252D5">
              <w:rPr>
                <w:rFonts w:ascii="Arial" w:hAnsi="Arial" w:cs="Arial"/>
                <w:color w:val="616161"/>
              </w:rPr>
              <w:t>. </w:t>
            </w:r>
            <w:r w:rsidRPr="00B252D5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Нежилые помещения:</w:t>
            </w:r>
          </w:p>
          <w:p w:rsidR="00B252D5" w:rsidRPr="00B252D5" w:rsidRDefault="00B252D5" w:rsidP="00B252D5">
            <w:pPr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1 секция</w:t>
            </w:r>
            <w:r w:rsidRPr="00B252D5">
              <w:rPr>
                <w:rFonts w:ascii="Arial" w:hAnsi="Arial" w:cs="Arial"/>
                <w:color w:val="616161"/>
              </w:rPr>
              <w:t>: нотариальная контора, пункт общественного правопорядка;</w:t>
            </w:r>
            <w:r w:rsidRPr="00B252D5">
              <w:rPr>
                <w:rFonts w:ascii="Arial" w:hAnsi="Arial" w:cs="Arial"/>
                <w:color w:val="616161"/>
              </w:rPr>
              <w:br/>
            </w:r>
            <w:r w:rsidRPr="00B252D5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2 секция</w:t>
            </w:r>
            <w:r w:rsidRPr="00B252D5">
              <w:rPr>
                <w:rFonts w:ascii="Arial" w:hAnsi="Arial" w:cs="Arial"/>
                <w:color w:val="616161"/>
              </w:rPr>
              <w:t>: досуговый центр;</w:t>
            </w:r>
            <w:r w:rsidRPr="00B252D5">
              <w:rPr>
                <w:rFonts w:ascii="Arial" w:hAnsi="Arial" w:cs="Arial"/>
                <w:color w:val="616161"/>
              </w:rPr>
              <w:br/>
            </w:r>
            <w:r w:rsidRPr="00B252D5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3 секция</w:t>
            </w:r>
            <w:r w:rsidRPr="00B252D5">
              <w:rPr>
                <w:rFonts w:ascii="Arial" w:hAnsi="Arial" w:cs="Arial"/>
                <w:color w:val="616161"/>
              </w:rPr>
              <w:t>: массажный кабинет, раздаточный пункт молочной кухни.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lastRenderedPageBreak/>
              <w:t>2.16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Лестницы, лестничные площадки, лифты, лифтовые холлы, межквартирные коридоры, помещения входных групп (консьерж, кладовые инвентаря и т.д.), технический этаж, помещения технического подполья и системы инженерного обеспечения внутри жилых домов.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II квартал 2013 г.</w:t>
            </w:r>
          </w:p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Орган, выдающий разрешение на ввод – Администрация Чеховского муниципального района.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Заказчик-застройщик – ООО «ВАНАГ»;</w:t>
            </w:r>
            <w:r w:rsidRPr="00B252D5">
              <w:rPr>
                <w:rFonts w:ascii="Arial" w:hAnsi="Arial" w:cs="Arial"/>
                <w:color w:val="616161"/>
              </w:rPr>
              <w:br/>
              <w:t>Органы Госстройнадзора Московской обл.;</w:t>
            </w:r>
            <w:r w:rsidRPr="00B252D5">
              <w:rPr>
                <w:rFonts w:ascii="Arial" w:hAnsi="Arial" w:cs="Arial"/>
                <w:color w:val="616161"/>
              </w:rPr>
              <w:br/>
              <w:t>Генеральный проектировщик – ООО «Проектно-Строительное Бюро»;</w:t>
            </w:r>
            <w:r w:rsidRPr="00B252D5">
              <w:rPr>
                <w:rFonts w:ascii="Arial" w:hAnsi="Arial" w:cs="Arial"/>
                <w:color w:val="616161"/>
              </w:rPr>
              <w:br/>
              <w:t>Подрядчик – ООО «СтройТехСоюз»;</w:t>
            </w:r>
            <w:r w:rsidRPr="00B252D5">
              <w:rPr>
                <w:rFonts w:ascii="Arial" w:hAnsi="Arial" w:cs="Arial"/>
                <w:color w:val="616161"/>
              </w:rPr>
              <w:br/>
              <w:t>Эксплуатирующая организация – ООО «РусБизнесГрупп».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отсутствует.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по добровольному страхованию застройщиком возможных рисков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Риски не застрахованы.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Стоимость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345 000,00 тыс. руб.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перечне организаций (подрядчиков), осуществляющих основные строительно-монтажные и другие работы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ООО «СтройТехСоюз»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lastRenderedPageBreak/>
              <w:t>2.23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 способе обеспечения обязательств застройщика по договору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В соответствии с Федеральным законодательством</w:t>
            </w:r>
          </w:p>
        </w:tc>
      </w:tr>
      <w:tr w:rsidR="00B252D5" w:rsidRPr="00B252D5" w:rsidTr="00B252D5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2.24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многоквартирных домов и (или) иных объектов недвижимости, за исключением привлечения денежных средств на основании договоров участия в долевом строительстве (п. 14, ч. I, ст. 21, 214-ФЗ)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1)      КБ «НС Банк» (ЗАО) №4120 от 03ю03.2011 г.;</w:t>
            </w:r>
          </w:p>
          <w:p w:rsidR="00B252D5" w:rsidRPr="00B252D5" w:rsidRDefault="00B252D5" w:rsidP="00B252D5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252D5">
              <w:rPr>
                <w:rFonts w:ascii="Arial" w:hAnsi="Arial" w:cs="Arial"/>
                <w:color w:val="616161"/>
              </w:rPr>
              <w:t>2)      ОАО Банк «Возрождение» №33 от 03.11.2011 г.</w:t>
            </w:r>
          </w:p>
        </w:tc>
      </w:tr>
    </w:tbl>
    <w:p w:rsidR="00B252D5" w:rsidRPr="00B252D5" w:rsidRDefault="00B252D5" w:rsidP="00B252D5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252D5">
        <w:rPr>
          <w:rFonts w:ascii="Arial" w:hAnsi="Arial" w:cs="Arial"/>
          <w:color w:val="616161"/>
        </w:rPr>
        <w:t> 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«ВАНАГ» по адресу: 117209 г. Москва, Севастопольский проспект, д.28, корп.8.</w:t>
      </w:r>
    </w:p>
    <w:p w:rsidR="00B252D5" w:rsidRPr="00B252D5" w:rsidRDefault="00B252D5" w:rsidP="00B252D5">
      <w:pPr>
        <w:shd w:val="clear" w:color="auto" w:fill="FFFFFF"/>
        <w:rPr>
          <w:rFonts w:ascii="Arial" w:hAnsi="Arial" w:cs="Arial"/>
          <w:color w:val="616161"/>
        </w:rPr>
      </w:pPr>
      <w:r w:rsidRPr="00B252D5">
        <w:rPr>
          <w:rFonts w:ascii="Arial" w:hAnsi="Arial" w:cs="Arial"/>
          <w:i/>
          <w:iCs/>
          <w:color w:val="616161"/>
          <w:bdr w:val="none" w:sz="0" w:space="0" w:color="auto" w:frame="1"/>
        </w:rPr>
        <w:t>Опубликовано в газете «Чехов сегодня».</w:t>
      </w:r>
    </w:p>
    <w:p w:rsidR="000B4E73" w:rsidRDefault="000B4E73">
      <w:bookmarkStart w:id="0" w:name="_GoBack"/>
      <w:bookmarkEnd w:id="0"/>
    </w:p>
    <w:sectPr w:rsidR="000B4E73" w:rsidSect="005C54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7FD"/>
    <w:multiLevelType w:val="multilevel"/>
    <w:tmpl w:val="E866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53D95"/>
    <w:multiLevelType w:val="multilevel"/>
    <w:tmpl w:val="6790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52D5"/>
    <w:rsid w:val="000204E3"/>
    <w:rsid w:val="000B4E73"/>
    <w:rsid w:val="005C54F7"/>
    <w:rsid w:val="00637721"/>
    <w:rsid w:val="00B2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252D5"/>
    <w:rPr>
      <w:b/>
      <w:bCs/>
    </w:rPr>
  </w:style>
  <w:style w:type="character" w:customStyle="1" w:styleId="apple-converted-space">
    <w:name w:val="apple-converted-space"/>
    <w:basedOn w:val="a0"/>
    <w:rsid w:val="00B252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252D5"/>
    <w:rPr>
      <w:b/>
      <w:bCs/>
    </w:rPr>
  </w:style>
  <w:style w:type="character" w:customStyle="1" w:styleId="apple-converted-space">
    <w:name w:val="apple-converted-space"/>
    <w:basedOn w:val="a0"/>
    <w:rsid w:val="00B2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Svistunova</dc:creator>
  <cp:lastModifiedBy>Manager</cp:lastModifiedBy>
  <cp:revision>2</cp:revision>
  <dcterms:created xsi:type="dcterms:W3CDTF">2019-10-20T21:11:00Z</dcterms:created>
  <dcterms:modified xsi:type="dcterms:W3CDTF">2019-10-20T21:11:00Z</dcterms:modified>
</cp:coreProperties>
</file>